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D8E3" w14:textId="7249910D" w:rsidR="002F0138" w:rsidRDefault="00485A5B">
      <w:r w:rsidRPr="00485A5B">
        <w:t>*Tax dependent as defined by the IRS:  "The child must be: (a) under age 19 at the end of the year and younger than you (or your spouse, if filing jointly), (b) under age 24 at the end of the year, a full- time student, and younger than you (or your spouse, if filing jointly), or (c) any age if permanently and totally disabled."</w:t>
      </w:r>
    </w:p>
    <w:sectPr w:rsidR="002F0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5B"/>
    <w:rsid w:val="001D5EC2"/>
    <w:rsid w:val="002F0138"/>
    <w:rsid w:val="00485A5B"/>
    <w:rsid w:val="00B6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4BD33"/>
  <w15:chartTrackingRefBased/>
  <w15:docId w15:val="{8EC214EF-E9BE-4915-9BE1-DE1B8449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A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A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A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A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A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A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A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Mechelle Rafferty</dc:creator>
  <cp:keywords/>
  <dc:description/>
  <cp:lastModifiedBy>Mechelle Rafferty</cp:lastModifiedBy>
  <cp:revision>1</cp:revision>
  <dcterms:created xsi:type="dcterms:W3CDTF">2026-08-23T18:17:00Z</dcterms:created>
  <dcterms:modified xsi:type="dcterms:W3CDTF">2026-08-23T18:18:00Z</dcterms:modified>
</cp:coreProperties>
</file>